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B796" w14:textId="77777777" w:rsidR="004A1A66" w:rsidRDefault="004A1A66" w:rsidP="00D1327E">
      <w:pPr>
        <w:spacing w:after="0"/>
        <w:rPr>
          <w:sz w:val="19"/>
          <w:szCs w:val="19"/>
        </w:rPr>
      </w:pPr>
    </w:p>
    <w:p w14:paraId="3321DF4B" w14:textId="77777777" w:rsidR="004A1A66" w:rsidRPr="00B92CBB" w:rsidRDefault="00127611" w:rsidP="00D1327E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English</w:t>
      </w:r>
      <w:bookmarkStart w:id="0" w:name="_GoBack"/>
      <w:bookmarkEnd w:id="0"/>
      <w:r w:rsidR="00BF0D29" w:rsidRPr="00B92CBB">
        <w:rPr>
          <w:rFonts w:ascii="Times New Roman" w:hAnsi="Times New Roman" w:cs="Times New Roman"/>
          <w:sz w:val="19"/>
          <w:szCs w:val="19"/>
        </w:rPr>
        <w:t xml:space="preserve"> </w:t>
      </w:r>
      <w:r w:rsidR="00D038F1" w:rsidRPr="00B92CBB">
        <w:rPr>
          <w:rFonts w:ascii="Times New Roman" w:hAnsi="Times New Roman" w:cs="Times New Roman"/>
          <w:sz w:val="19"/>
          <w:szCs w:val="19"/>
        </w:rPr>
        <w:t xml:space="preserve">Interview Number </w:t>
      </w:r>
      <w:r w:rsidR="00BD2ADD" w:rsidRPr="00B92CBB">
        <w:rPr>
          <w:rFonts w:ascii="Times New Roman" w:hAnsi="Times New Roman" w:cs="Times New Roman"/>
          <w:sz w:val="19"/>
          <w:szCs w:val="19"/>
        </w:rPr>
        <w:t>Two: Oral Presentation</w:t>
      </w:r>
      <w:r w:rsidR="00D1327E" w:rsidRPr="00B92CBB">
        <w:rPr>
          <w:rFonts w:ascii="Times New Roman" w:hAnsi="Times New Roman" w:cs="Times New Roman"/>
          <w:sz w:val="19"/>
          <w:szCs w:val="19"/>
        </w:rPr>
        <w:t xml:space="preserve">  </w:t>
      </w:r>
      <w:r w:rsidR="00D1327E" w:rsidRPr="00B92CBB">
        <w:rPr>
          <w:rFonts w:ascii="Times New Roman" w:hAnsi="Times New Roman" w:cs="Times New Roman"/>
          <w:sz w:val="19"/>
          <w:szCs w:val="19"/>
        </w:rPr>
        <w:tab/>
      </w:r>
    </w:p>
    <w:p w14:paraId="35800601" w14:textId="77777777" w:rsidR="0096414D" w:rsidRPr="004A1A66" w:rsidRDefault="00D1327E" w:rsidP="007361BC">
      <w:pPr>
        <w:spacing w:after="0"/>
        <w:jc w:val="right"/>
        <w:rPr>
          <w:sz w:val="19"/>
          <w:szCs w:val="19"/>
        </w:rPr>
      </w:pPr>
      <w:r w:rsidRPr="004A1A66">
        <w:rPr>
          <w:sz w:val="19"/>
          <w:szCs w:val="19"/>
        </w:rPr>
        <w:t>N</w:t>
      </w:r>
      <w:r w:rsidR="009B7277" w:rsidRPr="004A1A66">
        <w:rPr>
          <w:sz w:val="19"/>
          <w:szCs w:val="19"/>
        </w:rPr>
        <w:t>ame</w:t>
      </w:r>
      <w:proofErr w:type="gramStart"/>
      <w:r w:rsidR="009B7277" w:rsidRPr="004A1A66">
        <w:rPr>
          <w:sz w:val="19"/>
          <w:szCs w:val="19"/>
        </w:rPr>
        <w:t>:_</w:t>
      </w:r>
      <w:proofErr w:type="gramEnd"/>
      <w:r w:rsidR="009B7277" w:rsidRPr="004A1A66">
        <w:rPr>
          <w:sz w:val="19"/>
          <w:szCs w:val="19"/>
        </w:rPr>
        <w:t>_</w:t>
      </w:r>
      <w:r w:rsidRPr="004A1A66">
        <w:rPr>
          <w:sz w:val="19"/>
          <w:szCs w:val="19"/>
        </w:rPr>
        <w:t>_______________</w:t>
      </w:r>
      <w:r w:rsidR="009B7277" w:rsidRPr="004A1A66">
        <w:rPr>
          <w:sz w:val="19"/>
          <w:szCs w:val="19"/>
        </w:rPr>
        <w:t xml:space="preserve">  Block: ______</w:t>
      </w:r>
    </w:p>
    <w:tbl>
      <w:tblPr>
        <w:tblStyle w:val="TableGrid"/>
        <w:tblpPr w:leftFromText="180" w:rightFromText="180" w:vertAnchor="text" w:tblpX="-176" w:tblpY="1"/>
        <w:tblOverlap w:val="never"/>
        <w:tblW w:w="17388" w:type="dxa"/>
        <w:tblLook w:val="04A0" w:firstRow="1" w:lastRow="0" w:firstColumn="1" w:lastColumn="0" w:noHBand="0" w:noVBand="1"/>
      </w:tblPr>
      <w:tblGrid>
        <w:gridCol w:w="1951"/>
        <w:gridCol w:w="3827"/>
        <w:gridCol w:w="3780"/>
        <w:gridCol w:w="3780"/>
        <w:gridCol w:w="4050"/>
      </w:tblGrid>
      <w:tr w:rsidR="0039158B" w:rsidRPr="004A1A66" w14:paraId="363C4B00" w14:textId="77777777" w:rsidTr="0039158B">
        <w:tc>
          <w:tcPr>
            <w:tcW w:w="1951" w:type="dxa"/>
          </w:tcPr>
          <w:p w14:paraId="0B733254" w14:textId="77777777" w:rsidR="00AE2BAE" w:rsidRPr="004A1A66" w:rsidRDefault="00AE2BAE" w:rsidP="00114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D5E6B73" w14:textId="77777777" w:rsidR="00AE2BAE" w:rsidRPr="004A1A66" w:rsidRDefault="00AE2BAE" w:rsidP="0011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Not Yet within Expectations</w:t>
            </w:r>
          </w:p>
        </w:tc>
        <w:tc>
          <w:tcPr>
            <w:tcW w:w="3780" w:type="dxa"/>
          </w:tcPr>
          <w:p w14:paraId="0A4CF7B1" w14:textId="77777777" w:rsidR="00AE2BAE" w:rsidRPr="004A1A66" w:rsidRDefault="00AE2BAE" w:rsidP="0011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Minimally Meets Expectations</w:t>
            </w:r>
          </w:p>
        </w:tc>
        <w:tc>
          <w:tcPr>
            <w:tcW w:w="3780" w:type="dxa"/>
          </w:tcPr>
          <w:p w14:paraId="45C6FDC5" w14:textId="77777777" w:rsidR="00AE2BAE" w:rsidRPr="004A1A66" w:rsidRDefault="00AE2BAE" w:rsidP="0011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Fully Meets Expectations</w:t>
            </w:r>
          </w:p>
        </w:tc>
        <w:tc>
          <w:tcPr>
            <w:tcW w:w="4050" w:type="dxa"/>
          </w:tcPr>
          <w:p w14:paraId="7E023871" w14:textId="77777777" w:rsidR="00AE2BAE" w:rsidRPr="004A1A66" w:rsidRDefault="00AE2BAE" w:rsidP="0011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Exceeds Expectations</w:t>
            </w:r>
          </w:p>
        </w:tc>
      </w:tr>
      <w:tr w:rsidR="0039158B" w:rsidRPr="004A1A66" w14:paraId="17DFFB1F" w14:textId="77777777" w:rsidTr="0039158B">
        <w:tc>
          <w:tcPr>
            <w:tcW w:w="1951" w:type="dxa"/>
          </w:tcPr>
          <w:p w14:paraId="421613E5" w14:textId="77777777" w:rsidR="00956584" w:rsidRPr="004A1A66" w:rsidRDefault="00956584" w:rsidP="00114BD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THE READER AND THE TEXT</w:t>
            </w:r>
          </w:p>
        </w:tc>
        <w:tc>
          <w:tcPr>
            <w:tcW w:w="3827" w:type="dxa"/>
          </w:tcPr>
          <w:p w14:paraId="64060A50" w14:textId="77777777" w:rsidR="00AE2BAE" w:rsidRPr="004A1A66" w:rsidRDefault="005D22F0" w:rsidP="002853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student offers an inadequate response to the assignment. </w:t>
            </w:r>
            <w:r w:rsidR="000F2E6D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Questions</w:t>
            </w:r>
            <w:r w:rsidR="000F2E6D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are often </w:t>
            </w:r>
            <w:r w:rsidR="00C46FA5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limiting supporting</w:t>
            </w:r>
            <w:r w:rsidR="000F2E6D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little </w:t>
            </w:r>
            <w:r w:rsidR="00C46FA5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elaboration in the responses</w:t>
            </w:r>
            <w:r w:rsidR="000F2E6D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no clear purpose.  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responses are undeveloped and/or out of character.  Attempts to engage the audience are lacking.   </w:t>
            </w:r>
            <w:r w:rsidR="000F2E6D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Tone may be inappropriate and structure may be illogical. </w:t>
            </w:r>
          </w:p>
        </w:tc>
        <w:tc>
          <w:tcPr>
            <w:tcW w:w="3780" w:type="dxa"/>
          </w:tcPr>
          <w:p w14:paraId="56C67BE6" w14:textId="77777777" w:rsidR="00AE2BAE" w:rsidRPr="004A1A66" w:rsidRDefault="005D22F0" w:rsidP="002853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student offers a narrow or superficial interpretation of the assignment. </w:t>
            </w:r>
            <w:r w:rsidR="008B3C16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questions are straightforward and clear. Responses contain</w:t>
            </w:r>
            <w:r w:rsidR="008B3C16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some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elaboration</w:t>
            </w:r>
            <w:r w:rsidR="008B3C16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Attempts to engage the 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audience</w:t>
            </w:r>
            <w:r w:rsidR="008B3C16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are evident yet inconsistent.  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Tone is appropriate.</w:t>
            </w:r>
          </w:p>
        </w:tc>
        <w:tc>
          <w:tcPr>
            <w:tcW w:w="3780" w:type="dxa"/>
          </w:tcPr>
          <w:p w14:paraId="178C026B" w14:textId="77777777" w:rsidR="00285362" w:rsidRPr="004A1A66" w:rsidRDefault="00643083" w:rsidP="00114B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student offers a logical interpretation of </w:t>
            </w:r>
            <w:r w:rsidR="005D22F0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the assignment</w:t>
            </w: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E4064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that is thoughtful and interesting. 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Questions are open ended and effectively posed resulting in a presentation of interesting ideas about the interviewee.  Responses contain suff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icient detail to delve below a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surface introduction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are believable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8B3C16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The voice and tone are generally engaging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14590DE" w14:textId="77777777" w:rsidR="00285362" w:rsidRPr="004A1A66" w:rsidRDefault="00285362" w:rsidP="00114B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D3983A" w14:textId="77777777" w:rsidR="00285362" w:rsidRPr="004A1A66" w:rsidRDefault="00285362" w:rsidP="00114B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14:paraId="14839B0D" w14:textId="77777777" w:rsidR="006E6022" w:rsidRPr="004A1A66" w:rsidRDefault="00643083" w:rsidP="002853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The s</w:t>
            </w:r>
            <w:r w:rsidR="00BE4064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tudent offers a</w:t>
            </w: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thorough interpretation of the assignment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that is insightful and creative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Questions are open ended and creatively posed resulting in an engaging presentation of interesting ideas about the interviewee. </w:t>
            </w:r>
            <w:r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Responses </w:t>
            </w:r>
            <w:r w:rsidR="00821EB9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are fully developed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, supported</w:t>
            </w:r>
            <w:r w:rsidR="00821EB9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</w:t>
            </w:r>
            <w:r w:rsidR="00285362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insightful</w:t>
            </w:r>
            <w:r w:rsidR="00821EB9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>.  Voice and tone</w:t>
            </w:r>
            <w:r w:rsidR="00D038F1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engage the audience throughout</w:t>
            </w:r>
            <w:r w:rsidR="00821EB9" w:rsidRPr="004A1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</w:t>
            </w:r>
          </w:p>
        </w:tc>
      </w:tr>
      <w:tr w:rsidR="0039158B" w:rsidRPr="004A1A66" w14:paraId="5D4C879E" w14:textId="77777777" w:rsidTr="0039158B">
        <w:tc>
          <w:tcPr>
            <w:tcW w:w="1951" w:type="dxa"/>
          </w:tcPr>
          <w:p w14:paraId="06B18CFC" w14:textId="77777777" w:rsidR="00AE2BAE" w:rsidRPr="004A1A66" w:rsidRDefault="00063516" w:rsidP="00114BD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MEANING</w:t>
            </w:r>
          </w:p>
          <w:p w14:paraId="647A6647" w14:textId="77777777" w:rsidR="00153E58" w:rsidRPr="004A1A66" w:rsidRDefault="00C46FA5" w:rsidP="00114BD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ask meaningful questions that support thoughtful responses</w:t>
            </w:r>
            <w:r w:rsidR="00153E58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46B29D9D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5787C" w14:textId="77777777" w:rsidR="00153E58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r w:rsidR="00B931C8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lack </w:t>
            </w:r>
            <w:r w:rsidR="00A16E4E" w:rsidRPr="004A1A66">
              <w:rPr>
                <w:rFonts w:ascii="Times New Roman" w:hAnsi="Times New Roman" w:cs="Times New Roman"/>
                <w:sz w:val="18"/>
                <w:szCs w:val="18"/>
              </w:rPr>
              <w:t>purpose and may be confusing</w:t>
            </w:r>
          </w:p>
          <w:p w14:paraId="62FC0ED4" w14:textId="77777777" w:rsidR="00AE2BAE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brief responses lack detail and give minimal</w:t>
            </w:r>
            <w:r w:rsidR="00AD4109" w:rsidRPr="004A1A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if any</w:t>
            </w:r>
            <w:r w:rsidR="00AD4109" w:rsidRPr="004A1A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meaningful information about the interviewee</w:t>
            </w:r>
          </w:p>
          <w:p w14:paraId="7AD1B66D" w14:textId="77777777" w:rsidR="00681FF8" w:rsidRPr="004A1A66" w:rsidRDefault="00681FF8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responses are not believable </w:t>
            </w:r>
          </w:p>
        </w:tc>
        <w:tc>
          <w:tcPr>
            <w:tcW w:w="3780" w:type="dxa"/>
          </w:tcPr>
          <w:p w14:paraId="5A506483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CEB9A" w14:textId="77777777" w:rsidR="00C46FA5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questions are straightforward and  logically organized </w:t>
            </w:r>
          </w:p>
          <w:p w14:paraId="2B575002" w14:textId="77777777" w:rsidR="0082152E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responses are often brief and dominated by details that give only surface information about the interviewee</w:t>
            </w:r>
          </w:p>
          <w:p w14:paraId="4FA52721" w14:textId="77777777" w:rsidR="00681FF8" w:rsidRPr="004A1A66" w:rsidRDefault="00681FF8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responses show effort to reflect the character</w:t>
            </w:r>
            <w:r w:rsidR="00661C45" w:rsidRPr="004A1A66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s personality</w:t>
            </w:r>
          </w:p>
        </w:tc>
        <w:tc>
          <w:tcPr>
            <w:tcW w:w="3780" w:type="dxa"/>
          </w:tcPr>
          <w:p w14:paraId="0DDB04FE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B3C3F" w14:textId="77777777" w:rsidR="00615515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questions are effective and </w:t>
            </w:r>
            <w:r w:rsidR="00A16E4E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logical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ly organized</w:t>
            </w:r>
            <w:r w:rsidR="00A16E4E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515" w:rsidRPr="004A1A66">
              <w:rPr>
                <w:rFonts w:ascii="Times New Roman" w:hAnsi="Times New Roman" w:cs="Times New Roman"/>
                <w:sz w:val="18"/>
                <w:szCs w:val="18"/>
              </w:rPr>
              <w:t>with a clear sense of purpose</w:t>
            </w:r>
          </w:p>
          <w:p w14:paraId="15230AAA" w14:textId="77777777" w:rsidR="0082152E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responses</w:t>
            </w:r>
            <w:r w:rsidR="00615515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are effectively developed</w:t>
            </w: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to hold interesting details about the interviewee</w:t>
            </w:r>
          </w:p>
          <w:p w14:paraId="7C5CE40F" w14:textId="77777777" w:rsidR="00681FF8" w:rsidRPr="004A1A66" w:rsidRDefault="00681FF8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responses are convincing reflections of the character’s personality</w:t>
            </w:r>
          </w:p>
        </w:tc>
        <w:tc>
          <w:tcPr>
            <w:tcW w:w="4050" w:type="dxa"/>
          </w:tcPr>
          <w:p w14:paraId="12A61E85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D8C97" w14:textId="77777777" w:rsidR="00C46FA5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questions are open-ended and  followed up with further prompts when necessary; questions are logically organized with a clear sense of purpose</w:t>
            </w:r>
          </w:p>
          <w:p w14:paraId="79374023" w14:textId="77777777" w:rsidR="00681FF8" w:rsidRPr="004A1A66" w:rsidRDefault="00C46FA5" w:rsidP="00114B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responses are effectively developed to hold interesting insights about the interviewee</w:t>
            </w:r>
          </w:p>
          <w:p w14:paraId="57A48343" w14:textId="77777777" w:rsidR="00570319" w:rsidRPr="004A1A66" w:rsidRDefault="00D1327E" w:rsidP="00D132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responses are convincing reflections of and insight into the character’s personality </w:t>
            </w:r>
          </w:p>
        </w:tc>
      </w:tr>
      <w:tr w:rsidR="0039158B" w:rsidRPr="004A1A66" w14:paraId="6C7D6B9F" w14:textId="77777777" w:rsidTr="0039158B">
        <w:tc>
          <w:tcPr>
            <w:tcW w:w="1951" w:type="dxa"/>
          </w:tcPr>
          <w:p w14:paraId="5BFB8FEA" w14:textId="77777777" w:rsidR="00AE2BAE" w:rsidRPr="004A1A66" w:rsidRDefault="00063516" w:rsidP="00114BD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FORM</w:t>
            </w:r>
          </w:p>
          <w:p w14:paraId="5CCCE3D7" w14:textId="77777777" w:rsidR="00F475C1" w:rsidRPr="004A1A66" w:rsidRDefault="00F475C1" w:rsidP="00114B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organization of ideas and information</w:t>
            </w:r>
          </w:p>
          <w:p w14:paraId="3B4D9529" w14:textId="77777777" w:rsidR="00F475C1" w:rsidRPr="004A1A66" w:rsidRDefault="00F475C1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A600882" w14:textId="77777777" w:rsidR="006E6022" w:rsidRPr="004A1A66" w:rsidRDefault="006E6022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3290F" w14:textId="77777777" w:rsidR="000E62C9" w:rsidRPr="004A1A66" w:rsidRDefault="000E62C9" w:rsidP="00114B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introduction is vague with no apparent purpose</w:t>
            </w:r>
          </w:p>
          <w:p w14:paraId="62BB0960" w14:textId="77777777" w:rsidR="000E62C9" w:rsidRPr="004A1A66" w:rsidRDefault="00F24867" w:rsidP="00F248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concluding statement is missing or ineffective</w:t>
            </w:r>
          </w:p>
        </w:tc>
        <w:tc>
          <w:tcPr>
            <w:tcW w:w="3780" w:type="dxa"/>
          </w:tcPr>
          <w:p w14:paraId="3C639B6A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E0ECB" w14:textId="77777777" w:rsidR="000E62C9" w:rsidRPr="004A1A66" w:rsidRDefault="000E62C9" w:rsidP="00114B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introduction is clear and straightforward</w:t>
            </w:r>
            <w:r w:rsidR="007D14D3"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 (often formulaic)</w:t>
            </w:r>
          </w:p>
          <w:p w14:paraId="519A610E" w14:textId="77777777" w:rsidR="00F24867" w:rsidRPr="004A1A66" w:rsidRDefault="00F24867" w:rsidP="00114B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concluding statement is straightforward and communicates completion</w:t>
            </w:r>
          </w:p>
          <w:p w14:paraId="2A8A31BA" w14:textId="77777777" w:rsidR="000E62C9" w:rsidRPr="004A1A66" w:rsidRDefault="000E62C9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A265AB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31454" w14:textId="77777777" w:rsidR="00BF6BD2" w:rsidRPr="004A1A66" w:rsidRDefault="00F475C1" w:rsidP="00114B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introduction is effective in clearly indicating purpose </w:t>
            </w:r>
          </w:p>
          <w:p w14:paraId="0BCFD819" w14:textId="77777777" w:rsidR="00F24867" w:rsidRPr="004A1A66" w:rsidRDefault="00F24867" w:rsidP="00F248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concluding statement communicates a sense of appreciation for the interviewee’s time</w:t>
            </w:r>
          </w:p>
          <w:p w14:paraId="3FA1FB0B" w14:textId="77777777" w:rsidR="00AE2BAE" w:rsidRPr="004A1A66" w:rsidRDefault="00AE2BAE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428A52B" w14:textId="77777777" w:rsidR="00063516" w:rsidRPr="004A1A66" w:rsidRDefault="00063516" w:rsidP="00114BD2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54A18" w14:textId="77777777" w:rsidR="00BF6BD2" w:rsidRPr="004A1A66" w:rsidRDefault="00BF6BD2" w:rsidP="00114B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introduction is effective in clearly indicating purpose and engaging the reader</w:t>
            </w:r>
          </w:p>
          <w:p w14:paraId="71087500" w14:textId="77777777" w:rsidR="000E62C9" w:rsidRPr="004A1A66" w:rsidRDefault="00F24867" w:rsidP="00F248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concluding statement summarizes something learned and communicates appreciation</w:t>
            </w:r>
          </w:p>
        </w:tc>
      </w:tr>
      <w:tr w:rsidR="0039158B" w:rsidRPr="004A1A66" w14:paraId="34BA675C" w14:textId="77777777" w:rsidTr="0039158B">
        <w:trPr>
          <w:trHeight w:val="125"/>
        </w:trPr>
        <w:tc>
          <w:tcPr>
            <w:tcW w:w="1951" w:type="dxa"/>
          </w:tcPr>
          <w:p w14:paraId="22969EE3" w14:textId="77777777" w:rsidR="008028E6" w:rsidRPr="004A1A66" w:rsidRDefault="008028E6" w:rsidP="008028E6">
            <w:pPr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</w:pPr>
            <w:r w:rsidRPr="004A1A66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Oral Presentation</w:t>
            </w:r>
          </w:p>
          <w:p w14:paraId="075A2224" w14:textId="77777777" w:rsidR="008028E6" w:rsidRPr="004A1A66" w:rsidRDefault="008028E6" w:rsidP="008028E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organization </w:t>
            </w:r>
          </w:p>
          <w:p w14:paraId="27DC70FB" w14:textId="77777777" w:rsidR="008028E6" w:rsidRPr="004A1A66" w:rsidRDefault="008028E6" w:rsidP="008028E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clarity</w:t>
            </w:r>
          </w:p>
          <w:p w14:paraId="4EE725F9" w14:textId="77777777" w:rsidR="008028E6" w:rsidRPr="004A1A66" w:rsidRDefault="008028E6" w:rsidP="008028E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audience engagement</w:t>
            </w:r>
          </w:p>
          <w:p w14:paraId="14A8A4AA" w14:textId="77777777" w:rsidR="008028E6" w:rsidRPr="004A1A66" w:rsidRDefault="008028E6" w:rsidP="008028E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>preparation and practice</w:t>
            </w:r>
          </w:p>
          <w:p w14:paraId="24C1D41E" w14:textId="77777777" w:rsidR="008028E6" w:rsidRPr="004A1A66" w:rsidRDefault="008028E6" w:rsidP="001B227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1A66">
              <w:rPr>
                <w:rFonts w:ascii="Times New Roman" w:hAnsi="Times New Roman" w:cs="Times New Roman"/>
                <w:sz w:val="18"/>
                <w:szCs w:val="18"/>
              </w:rPr>
              <w:t xml:space="preserve">use of </w:t>
            </w:r>
            <w:r w:rsidR="001B227A" w:rsidRPr="004A1A66">
              <w:rPr>
                <w:rFonts w:ascii="Times New Roman" w:hAnsi="Times New Roman" w:cs="Times New Roman"/>
                <w:sz w:val="18"/>
                <w:szCs w:val="18"/>
              </w:rPr>
              <w:t>props/costumes</w:t>
            </w:r>
          </w:p>
        </w:tc>
        <w:tc>
          <w:tcPr>
            <w:tcW w:w="3827" w:type="dxa"/>
          </w:tcPr>
          <w:p w14:paraId="3AF34BE1" w14:textId="77777777" w:rsidR="008028E6" w:rsidRPr="00EB59EA" w:rsidRDefault="008028E6" w:rsidP="008028E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2CD6F" w14:textId="77777777" w:rsidR="009B3837" w:rsidRPr="00EB59EA" w:rsidRDefault="003A66A9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consistently speaks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too quickly or 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too 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>slowly</w:t>
            </w:r>
          </w:p>
          <w:p w14:paraId="407FD4DF" w14:textId="77777777" w:rsidR="003A66A9" w:rsidRPr="00EB59EA" w:rsidRDefault="003A66A9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volume is too low to hear or too high to effectively communicate the intended message</w:t>
            </w:r>
          </w:p>
          <w:p w14:paraId="031635AC" w14:textId="77777777" w:rsidR="003A66A9" w:rsidRPr="00EB59EA" w:rsidRDefault="003A66A9" w:rsidP="003A66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frequent mumbling and/or  reliance on fillers (“um”, “like”)  interfere with meaning</w:t>
            </w:r>
          </w:p>
          <w:p w14:paraId="0615C5FA" w14:textId="77777777" w:rsidR="000F4B59" w:rsidRPr="00EB59EA" w:rsidRDefault="000F4B59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eye contact is non-existent</w:t>
            </w:r>
          </w:p>
          <w:p w14:paraId="0C58CE09" w14:textId="77777777" w:rsidR="009B3837" w:rsidRPr="00EB59EA" w:rsidRDefault="009B3837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body language is distracting</w:t>
            </w:r>
          </w:p>
          <w:p w14:paraId="45E4DAF1" w14:textId="77777777" w:rsidR="008028E6" w:rsidRPr="00EB59EA" w:rsidRDefault="009B3837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little preparation or practice is evident, presenters stumble and consult each other often</w:t>
            </w:r>
          </w:p>
          <w:p w14:paraId="77B03C86" w14:textId="77777777" w:rsidR="00EB59EA" w:rsidRPr="00EB59EA" w:rsidRDefault="00EB59EA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/>
                <w:sz w:val="18"/>
                <w:szCs w:val="18"/>
              </w:rPr>
              <w:t>props/costumes are absent</w:t>
            </w:r>
          </w:p>
        </w:tc>
        <w:tc>
          <w:tcPr>
            <w:tcW w:w="3780" w:type="dxa"/>
          </w:tcPr>
          <w:p w14:paraId="3F0EC5FC" w14:textId="77777777" w:rsidR="008028E6" w:rsidRPr="00EB59EA" w:rsidRDefault="008028E6" w:rsidP="008028E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E1E34" w14:textId="77777777" w:rsidR="003A66A9" w:rsidRPr="00EB59EA" w:rsidRDefault="009B3837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pace varies </w:t>
            </w:r>
            <w:r w:rsidR="003A66A9" w:rsidRPr="00EB59EA">
              <w:rPr>
                <w:rFonts w:ascii="Times New Roman" w:hAnsi="Times New Roman" w:cs="Times New Roman"/>
                <w:sz w:val="18"/>
                <w:szCs w:val="18"/>
              </w:rPr>
              <w:t>– at times effective yet with frequent speeding up or slowing down</w:t>
            </w:r>
          </w:p>
          <w:p w14:paraId="62697992" w14:textId="77777777" w:rsidR="009B3837" w:rsidRPr="00EB59EA" w:rsidRDefault="003A66A9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speaker can be heard yet variations in volume are distracting</w:t>
            </w:r>
          </w:p>
          <w:p w14:paraId="0369B73A" w14:textId="77777777" w:rsidR="003A66A9" w:rsidRPr="00EB59EA" w:rsidRDefault="003A66A9" w:rsidP="000F4B5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articulation is generally </w:t>
            </w:r>
            <w:r w:rsidR="000F4B59" w:rsidRPr="00EB59E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yet fillers (“um”, “like”) are distracting</w:t>
            </w:r>
          </w:p>
          <w:p w14:paraId="09A6CFBD" w14:textId="77777777" w:rsidR="000F4B59" w:rsidRPr="00EB59EA" w:rsidRDefault="000F4B59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attempts at 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>eye cont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act are evident but inconsistent</w:t>
            </w:r>
          </w:p>
          <w:p w14:paraId="5F7C4AD1" w14:textId="77777777" w:rsidR="009B3837" w:rsidRPr="00EB59EA" w:rsidRDefault="009B3837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body language may be stiff or unnatural but does not distract from meaning </w:t>
            </w:r>
          </w:p>
          <w:p w14:paraId="3E4F26DE" w14:textId="77777777" w:rsidR="008028E6" w:rsidRPr="00EB59EA" w:rsidRDefault="009B3837" w:rsidP="009B38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presenters pause often, have to consult notes to explain points, could use more practice</w:t>
            </w:r>
          </w:p>
          <w:p w14:paraId="7D92DE8C" w14:textId="77777777" w:rsidR="00EB59EA" w:rsidRPr="00EB59EA" w:rsidRDefault="00EB59EA" w:rsidP="00EB59E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EB59EA">
              <w:rPr>
                <w:rFonts w:ascii="Times New Roman" w:hAnsi="Times New Roman"/>
                <w:sz w:val="18"/>
                <w:szCs w:val="18"/>
              </w:rPr>
              <w:t>props/ costumes do little to support interpretation</w:t>
            </w:r>
          </w:p>
        </w:tc>
        <w:tc>
          <w:tcPr>
            <w:tcW w:w="3780" w:type="dxa"/>
          </w:tcPr>
          <w:p w14:paraId="0670A124" w14:textId="77777777" w:rsidR="008028E6" w:rsidRPr="00EB59EA" w:rsidRDefault="008028E6" w:rsidP="008028E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2945B" w14:textId="77777777" w:rsidR="003A66A9" w:rsidRPr="00EB59EA" w:rsidRDefault="009B3837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pace </w:t>
            </w:r>
            <w:r w:rsidR="003A66A9" w:rsidRPr="00EB59EA">
              <w:rPr>
                <w:rFonts w:ascii="Times New Roman" w:hAnsi="Times New Roman" w:cs="Times New Roman"/>
                <w:sz w:val="18"/>
                <w:szCs w:val="18"/>
              </w:rPr>
              <w:t>is generally effective; may rush or drag at the beginning due to nervousness</w:t>
            </w:r>
          </w:p>
          <w:p w14:paraId="74623C53" w14:textId="77777777" w:rsidR="009B3837" w:rsidRPr="00EB59EA" w:rsidRDefault="000F4B59" w:rsidP="000F4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the speaker can be heard throughout the presentation occasionally using variations in volume and emphasis to support meaning and engage audience</w:t>
            </w:r>
          </w:p>
          <w:p w14:paraId="77B1311D" w14:textId="77777777" w:rsidR="003A66A9" w:rsidRPr="00EB59EA" w:rsidRDefault="003A66A9" w:rsidP="000F4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articulation is </w:t>
            </w:r>
            <w:r w:rsidR="000F4B59" w:rsidRPr="00EB59EA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; fillers (“um, like”) are infrequent and not distracting</w:t>
            </w:r>
          </w:p>
          <w:p w14:paraId="63B61434" w14:textId="77777777" w:rsidR="004A1A66" w:rsidRPr="00EB59EA" w:rsidRDefault="004A1A66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efforts to make eye contact are frequent</w:t>
            </w:r>
          </w:p>
          <w:p w14:paraId="5B31F3AB" w14:textId="77777777" w:rsidR="009B3837" w:rsidRPr="00EB59EA" w:rsidRDefault="004A1A66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efforts at body language 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are evident 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and support communication of meaning</w:t>
            </w:r>
          </w:p>
          <w:p w14:paraId="265DCCBA" w14:textId="77777777" w:rsidR="008028E6" w:rsidRPr="00EB59EA" w:rsidRDefault="009B3837" w:rsidP="009B383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presenters are prepared: able to find their place quickly within their notes and continue on with little interruption in flow</w:t>
            </w:r>
          </w:p>
          <w:p w14:paraId="7783BABB" w14:textId="77777777" w:rsidR="00EB59EA" w:rsidRPr="00EB59EA" w:rsidRDefault="00EB59EA" w:rsidP="00EB59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props/ costumes add to interpretation</w:t>
            </w:r>
          </w:p>
        </w:tc>
        <w:tc>
          <w:tcPr>
            <w:tcW w:w="4050" w:type="dxa"/>
          </w:tcPr>
          <w:p w14:paraId="139F9CDC" w14:textId="77777777" w:rsidR="008028E6" w:rsidRPr="00EB59EA" w:rsidRDefault="008028E6" w:rsidP="008028E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16063" w14:textId="77777777" w:rsidR="003A66A9" w:rsidRPr="00EB59EA" w:rsidRDefault="009B3837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pace</w:t>
            </w:r>
            <w:r w:rsidR="003A66A9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remains effective throughout</w:t>
            </w:r>
          </w:p>
          <w:p w14:paraId="65EBA635" w14:textId="77777777" w:rsidR="009B3837" w:rsidRPr="00EB59EA" w:rsidRDefault="000F4B59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volume is effective responding to both content and environment with v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ariations in volume and emphasis 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consistently</w:t>
            </w:r>
            <w:r w:rsidR="009B3837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used to enhance meaning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and engage audience</w:t>
            </w:r>
          </w:p>
          <w:p w14:paraId="1C541CFE" w14:textId="77777777" w:rsidR="003A66A9" w:rsidRPr="00EB59EA" w:rsidRDefault="000F4B59" w:rsidP="000F4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A66A9" w:rsidRPr="00EB59EA">
              <w:rPr>
                <w:rFonts w:ascii="Times New Roman" w:hAnsi="Times New Roman" w:cs="Times New Roman"/>
                <w:sz w:val="18"/>
                <w:szCs w:val="18"/>
              </w:rPr>
              <w:t>rticulation is clear with rare use of fillers (“um”, “like”)</w:t>
            </w:r>
          </w:p>
          <w:p w14:paraId="61E8F8AA" w14:textId="77777777" w:rsidR="004A1A66" w:rsidRPr="00EB59EA" w:rsidRDefault="004A1A66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eye contact is effective, frequent and appears natural</w:t>
            </w:r>
          </w:p>
          <w:p w14:paraId="41987B08" w14:textId="77777777" w:rsidR="009B3837" w:rsidRPr="00EB59EA" w:rsidRDefault="009B3837" w:rsidP="009B383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presenters hold attention and enhance meaning</w:t>
            </w:r>
            <w:r w:rsidR="004A1A66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body language</w:t>
            </w:r>
            <w:r w:rsidR="004A1A66"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that appears</w:t>
            </w: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 xml:space="preserve"> natural</w:t>
            </w:r>
          </w:p>
          <w:p w14:paraId="11B4C39E" w14:textId="77777777" w:rsidR="008028E6" w:rsidRPr="00EB59EA" w:rsidRDefault="009B3837" w:rsidP="009B383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presenters are prepared and “know their stuff”:references to notes and shifts in speakers do not interrupt the flow of the presentation</w:t>
            </w:r>
          </w:p>
          <w:p w14:paraId="5EC1327A" w14:textId="77777777" w:rsidR="00EB59EA" w:rsidRPr="00EB59EA" w:rsidRDefault="00EB59EA" w:rsidP="00EB59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9EA">
              <w:rPr>
                <w:rFonts w:ascii="Times New Roman" w:hAnsi="Times New Roman" w:cs="Times New Roman"/>
                <w:sz w:val="18"/>
                <w:szCs w:val="18"/>
              </w:rPr>
              <w:t>props/ costumes enrich the interpretation</w:t>
            </w:r>
          </w:p>
        </w:tc>
      </w:tr>
    </w:tbl>
    <w:p w14:paraId="6E1C039E" w14:textId="77777777" w:rsidR="00C1614C" w:rsidRPr="004A1A66" w:rsidRDefault="00C1614C">
      <w:pPr>
        <w:rPr>
          <w:rFonts w:ascii="Times New Roman" w:hAnsi="Times New Roman" w:cs="Times New Roman"/>
          <w:sz w:val="19"/>
          <w:szCs w:val="19"/>
        </w:rPr>
      </w:pPr>
    </w:p>
    <w:sectPr w:rsidR="00C1614C" w:rsidRPr="004A1A66" w:rsidSect="0039158B">
      <w:pgSz w:w="20160" w:h="12240" w:orient="landscape" w:code="5"/>
      <w:pgMar w:top="1008" w:right="1008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E7D"/>
    <w:multiLevelType w:val="hybridMultilevel"/>
    <w:tmpl w:val="54501C32"/>
    <w:lvl w:ilvl="0" w:tplc="2E2EA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E41B8"/>
    <w:multiLevelType w:val="hybridMultilevel"/>
    <w:tmpl w:val="DB62B9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B60DD"/>
    <w:multiLevelType w:val="hybridMultilevel"/>
    <w:tmpl w:val="AE9C44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F1BBD"/>
    <w:multiLevelType w:val="hybridMultilevel"/>
    <w:tmpl w:val="1638D158"/>
    <w:lvl w:ilvl="0" w:tplc="EFF2C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6D"/>
    <w:multiLevelType w:val="hybridMultilevel"/>
    <w:tmpl w:val="724416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5EEB"/>
    <w:multiLevelType w:val="hybridMultilevel"/>
    <w:tmpl w:val="3B0CB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5330"/>
    <w:multiLevelType w:val="hybridMultilevel"/>
    <w:tmpl w:val="0458F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3CC2"/>
    <w:multiLevelType w:val="hybridMultilevel"/>
    <w:tmpl w:val="98EAAE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16ED"/>
    <w:multiLevelType w:val="hybridMultilevel"/>
    <w:tmpl w:val="4EC8C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76D93"/>
    <w:multiLevelType w:val="hybridMultilevel"/>
    <w:tmpl w:val="E0EA0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C25F1"/>
    <w:multiLevelType w:val="hybridMultilevel"/>
    <w:tmpl w:val="A182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E4F16"/>
    <w:multiLevelType w:val="hybridMultilevel"/>
    <w:tmpl w:val="7EC4B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86953"/>
    <w:multiLevelType w:val="hybridMultilevel"/>
    <w:tmpl w:val="C734B5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CA725D"/>
    <w:multiLevelType w:val="hybridMultilevel"/>
    <w:tmpl w:val="731A2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12CC"/>
    <w:multiLevelType w:val="hybridMultilevel"/>
    <w:tmpl w:val="B09CEC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BC4E4E"/>
    <w:multiLevelType w:val="hybridMultilevel"/>
    <w:tmpl w:val="AAC82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09670F"/>
    <w:multiLevelType w:val="hybridMultilevel"/>
    <w:tmpl w:val="021EB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35150"/>
    <w:multiLevelType w:val="hybridMultilevel"/>
    <w:tmpl w:val="592A00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694DE5"/>
    <w:multiLevelType w:val="hybridMultilevel"/>
    <w:tmpl w:val="05029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37A3"/>
    <w:multiLevelType w:val="hybridMultilevel"/>
    <w:tmpl w:val="32E0144E"/>
    <w:lvl w:ilvl="0" w:tplc="56EC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2CF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3DCE7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E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28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E7"/>
    <w:rsid w:val="0004366B"/>
    <w:rsid w:val="00057518"/>
    <w:rsid w:val="00063516"/>
    <w:rsid w:val="00094A12"/>
    <w:rsid w:val="000E2EB0"/>
    <w:rsid w:val="000E62C9"/>
    <w:rsid w:val="000F2E6D"/>
    <w:rsid w:val="000F4B59"/>
    <w:rsid w:val="00102AFB"/>
    <w:rsid w:val="001136C1"/>
    <w:rsid w:val="00114BB7"/>
    <w:rsid w:val="00114BD2"/>
    <w:rsid w:val="0012182F"/>
    <w:rsid w:val="00127611"/>
    <w:rsid w:val="0015155D"/>
    <w:rsid w:val="00153E58"/>
    <w:rsid w:val="001B227A"/>
    <w:rsid w:val="001D4A8A"/>
    <w:rsid w:val="00237EF0"/>
    <w:rsid w:val="00280EE0"/>
    <w:rsid w:val="00285362"/>
    <w:rsid w:val="002D6BD1"/>
    <w:rsid w:val="0039158B"/>
    <w:rsid w:val="003A66A9"/>
    <w:rsid w:val="00453E0C"/>
    <w:rsid w:val="0046215E"/>
    <w:rsid w:val="004926E2"/>
    <w:rsid w:val="004A1A66"/>
    <w:rsid w:val="004D11E7"/>
    <w:rsid w:val="00526D3B"/>
    <w:rsid w:val="00544716"/>
    <w:rsid w:val="0055467E"/>
    <w:rsid w:val="00570319"/>
    <w:rsid w:val="005D22F0"/>
    <w:rsid w:val="00615515"/>
    <w:rsid w:val="00643083"/>
    <w:rsid w:val="0065660A"/>
    <w:rsid w:val="00661C45"/>
    <w:rsid w:val="00665133"/>
    <w:rsid w:val="00681FF8"/>
    <w:rsid w:val="006C39EC"/>
    <w:rsid w:val="006E6022"/>
    <w:rsid w:val="007361BC"/>
    <w:rsid w:val="007D14D3"/>
    <w:rsid w:val="008028E6"/>
    <w:rsid w:val="0082152E"/>
    <w:rsid w:val="00821EB9"/>
    <w:rsid w:val="00842E64"/>
    <w:rsid w:val="008B3C16"/>
    <w:rsid w:val="0095621F"/>
    <w:rsid w:val="00956584"/>
    <w:rsid w:val="0096414D"/>
    <w:rsid w:val="00996464"/>
    <w:rsid w:val="009B3837"/>
    <w:rsid w:val="009B7277"/>
    <w:rsid w:val="009E5890"/>
    <w:rsid w:val="00A02F25"/>
    <w:rsid w:val="00A16E4E"/>
    <w:rsid w:val="00A310FD"/>
    <w:rsid w:val="00A6624E"/>
    <w:rsid w:val="00A90BF2"/>
    <w:rsid w:val="00AD1B89"/>
    <w:rsid w:val="00AD2E0A"/>
    <w:rsid w:val="00AD4109"/>
    <w:rsid w:val="00AE2BAE"/>
    <w:rsid w:val="00B86BAD"/>
    <w:rsid w:val="00B91AD4"/>
    <w:rsid w:val="00B92CBB"/>
    <w:rsid w:val="00B931C8"/>
    <w:rsid w:val="00BA671C"/>
    <w:rsid w:val="00BC24CD"/>
    <w:rsid w:val="00BD2ADD"/>
    <w:rsid w:val="00BE4064"/>
    <w:rsid w:val="00BF0D29"/>
    <w:rsid w:val="00BF3E5B"/>
    <w:rsid w:val="00BF6BD2"/>
    <w:rsid w:val="00C1614C"/>
    <w:rsid w:val="00C2003F"/>
    <w:rsid w:val="00C45BAD"/>
    <w:rsid w:val="00C46FA5"/>
    <w:rsid w:val="00CA76BC"/>
    <w:rsid w:val="00CC45B4"/>
    <w:rsid w:val="00CD07C4"/>
    <w:rsid w:val="00D038F1"/>
    <w:rsid w:val="00D1327E"/>
    <w:rsid w:val="00E728A9"/>
    <w:rsid w:val="00E848DA"/>
    <w:rsid w:val="00EA4805"/>
    <w:rsid w:val="00EB59EA"/>
    <w:rsid w:val="00EE03FE"/>
    <w:rsid w:val="00EF0D18"/>
    <w:rsid w:val="00F24867"/>
    <w:rsid w:val="00F475C1"/>
    <w:rsid w:val="00F96248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17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E7"/>
    <w:pPr>
      <w:ind w:left="720"/>
      <w:contextualSpacing/>
    </w:pPr>
  </w:style>
  <w:style w:type="table" w:styleId="TableGrid">
    <w:name w:val="Table Grid"/>
    <w:basedOn w:val="TableNormal"/>
    <w:uiPriority w:val="59"/>
    <w:rsid w:val="00AE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E7"/>
    <w:pPr>
      <w:ind w:left="720"/>
      <w:contextualSpacing/>
    </w:pPr>
  </w:style>
  <w:style w:type="table" w:styleId="TableGrid">
    <w:name w:val="Table Grid"/>
    <w:basedOn w:val="TableNormal"/>
    <w:uiPriority w:val="59"/>
    <w:rsid w:val="00AE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Tammy Ferris</cp:lastModifiedBy>
  <cp:revision>3</cp:revision>
  <cp:lastPrinted>2010-10-08T04:28:00Z</cp:lastPrinted>
  <dcterms:created xsi:type="dcterms:W3CDTF">2016-09-13T02:21:00Z</dcterms:created>
  <dcterms:modified xsi:type="dcterms:W3CDTF">2016-09-13T02:21:00Z</dcterms:modified>
</cp:coreProperties>
</file>